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III</w:t>
      </w:r>
      <w:r w:rsidDel="00000000" w:rsidR="00000000" w:rsidRPr="00000000">
        <w:rPr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 comissões de seleção atribuirão notas de 0 a 10 pontos a cada um dos critérios de avaliação de cada projeto, conforme tabela a seguir: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10350.0" w:type="dxa"/>
        <w:jc w:val="left"/>
        <w:tblInd w:w="-8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55"/>
        <w:gridCol w:w="6270"/>
        <w:gridCol w:w="2325"/>
        <w:tblGridChange w:id="0">
          <w:tblGrid>
            <w:gridCol w:w="1755"/>
            <w:gridCol w:w="6270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Coerência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Relevância da ação proposta para o cenário cultural do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Municipio de Cabeceiras - GO -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Municipio de Cabeceiras.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às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ao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</w:t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Será considerado para fins de análise a carreira do proponente, com base no currículo e comprovações enviadas juntamente com a proposta</w:t>
            </w:r>
          </w:p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Contrapartida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Será avaliado o interesse público da execução da contrapartida proposta pelo agente cultural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945.0" w:type="dxa"/>
        <w:tblLayout w:type="fixed"/>
        <w:tblLook w:val="0400"/>
      </w:tblPr>
      <w:tblGrid>
        <w:gridCol w:w="1785"/>
        <w:gridCol w:w="6330"/>
        <w:gridCol w:w="2355"/>
        <w:tblGridChange w:id="0">
          <w:tblGrid>
            <w:gridCol w:w="1785"/>
            <w:gridCol w:w="6330"/>
            <w:gridCol w:w="23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Proponentes com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Proponente residente em regiões de menor IDH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960.0" w:type="dxa"/>
        <w:tblLayout w:type="fixed"/>
        <w:tblLook w:val="0400"/>
      </w:tblPr>
      <w:tblGrid>
        <w:gridCol w:w="1755"/>
        <w:gridCol w:w="6375"/>
        <w:gridCol w:w="2310"/>
        <w:tblGridChange w:id="0">
          <w:tblGrid>
            <w:gridCol w:w="1755"/>
            <w:gridCol w:w="6375"/>
            <w:gridCol w:w="23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ou coletivos/grupos compostos majoritariamente por pessoas negras ou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compostas majoritariamente por mulheres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sediadas em regiões de menor IDH ou coletivos/grupos pertencentes a regiões de menor IDH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120" w:before="120" w:line="240" w:lineRule="auto"/>
        <w:ind w:left="7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composta pela média resultante da somatória entre a pontuação final atribuída por cada parecerista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proponente.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G,H respectivamente. 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  DESEMPATE, TAIS COMO, PROPONENTE COM MAIOR 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Serão considerados aptos os projetos que receberem nota final igual ou superior a 50 pontos.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sz w:val="19"/>
        <w:szCs w:val="19"/>
        <w:rtl w:val="0"/>
      </w:rPr>
      <w:t xml:space="preserve"> </w:t>
    </w:r>
    <w:r w:rsidDel="00000000" w:rsidR="00000000" w:rsidRPr="00000000">
      <w:rPr>
        <w:sz w:val="21"/>
        <w:szCs w:val="21"/>
        <w:rtl w:val="0"/>
      </w:rPr>
      <w:t xml:space="preserve">- Fone:</w:t>
    </w:r>
    <w:r w:rsidDel="00000000" w:rsidR="00000000" w:rsidRPr="00000000">
      <w:rPr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/>
      <w:drawing>
        <wp:inline distB="114300" distT="114300" distL="114300" distR="114300">
          <wp:extent cx="2220278" cy="643694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0278" cy="6436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-123821</wp:posOffset>
          </wp:positionV>
          <wp:extent cx="2943398" cy="578167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</w:tblPr>
  </w:style>
  <w:style w:type="table" w:styleId="a0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7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D46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D4607"/>
  </w:style>
  <w:style w:type="paragraph" w:styleId="Rodap">
    <w:name w:val="footer"/>
    <w:basedOn w:val="Normal"/>
    <w:link w:val="RodapChar"/>
    <w:uiPriority w:val="99"/>
    <w:unhideWhenUsed w:val="1"/>
    <w:rsid w:val="00CD46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D460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RBxitw4b7vRH/U0T7JqAgbffQ==">CgMxLjA4AHIhMXlaS3ZaNEI2dlFxalp3Q243djF6YzdKT29lYzhsVkdy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</cp:coreProperties>
</file>